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4B" w:rsidRPr="004F6B24" w:rsidRDefault="00777A33">
      <w:p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Buenos dí</w:t>
      </w:r>
      <w:r w:rsidR="001E6E9E" w:rsidRPr="004F6B24">
        <w:rPr>
          <w:rFonts w:cstheme="minorHAnsi"/>
          <w:lang w:val="es-ES_tradnl"/>
        </w:rPr>
        <w:t xml:space="preserve">as a todos, soy </w:t>
      </w:r>
      <w:r w:rsidR="00C5637E">
        <w:rPr>
          <w:rFonts w:cstheme="minorHAnsi"/>
          <w:lang w:val="es-ES_tradnl"/>
        </w:rPr>
        <w:t>……….</w:t>
      </w:r>
      <w:bookmarkStart w:id="0" w:name="_GoBack"/>
      <w:bookmarkEnd w:id="0"/>
      <w:r w:rsidR="001E6E9E" w:rsidRPr="004F6B24">
        <w:rPr>
          <w:rFonts w:cstheme="minorHAnsi"/>
          <w:lang w:val="es-ES_tradnl"/>
        </w:rPr>
        <w:t xml:space="preserve"> trabajador del banco “</w:t>
      </w:r>
      <w:r w:rsidR="000344CD" w:rsidRPr="004F6B24">
        <w:rPr>
          <w:rFonts w:cstheme="minorHAnsi"/>
          <w:lang w:val="es-ES_tradnl"/>
        </w:rPr>
        <w:t>FriulAdria</w:t>
      </w:r>
      <w:r w:rsidR="001E6E9E" w:rsidRPr="004F6B24">
        <w:rPr>
          <w:rFonts w:cstheme="minorHAnsi"/>
          <w:lang w:val="es-ES_tradnl"/>
        </w:rPr>
        <w:t xml:space="preserve"> “ en el departamento de finanzas y  banca privada. Vengo a presentar un nuevo fondo de pensiones que, debido al tiempo de crisis en el que estamos inmersos</w:t>
      </w:r>
      <w:r w:rsidR="001D5FE4">
        <w:rPr>
          <w:rFonts w:cstheme="minorHAnsi"/>
          <w:lang w:val="es-ES_tradnl"/>
        </w:rPr>
        <w:t>,</w:t>
      </w:r>
      <w:r w:rsidR="001E6E9E" w:rsidRPr="004F6B24">
        <w:rPr>
          <w:rFonts w:cstheme="minorHAnsi"/>
          <w:lang w:val="es-ES_tradnl"/>
        </w:rPr>
        <w:t xml:space="preserve"> hemos decidido ofertar. En unos minu</w:t>
      </w:r>
      <w:r w:rsidR="00134F3C">
        <w:rPr>
          <w:rFonts w:cstheme="minorHAnsi"/>
          <w:lang w:val="es-ES_tradnl"/>
        </w:rPr>
        <w:t>tos realizaré una explicación má</w:t>
      </w:r>
      <w:r w:rsidR="001E6E9E" w:rsidRPr="004F6B24">
        <w:rPr>
          <w:rFonts w:cstheme="minorHAnsi"/>
          <w:lang w:val="es-ES_tradnl"/>
        </w:rPr>
        <w:t>s detallada, pero en primer lugar desearía hablaros de la his</w:t>
      </w:r>
      <w:r>
        <w:rPr>
          <w:rFonts w:cstheme="minorHAnsi"/>
          <w:lang w:val="es-ES_tradnl"/>
        </w:rPr>
        <w:t>toria y trayectoria de nuestro b</w:t>
      </w:r>
      <w:r w:rsidR="001E6E9E" w:rsidRPr="004F6B24">
        <w:rPr>
          <w:rFonts w:cstheme="minorHAnsi"/>
          <w:lang w:val="es-ES_tradnl"/>
        </w:rPr>
        <w:t>anco.</w:t>
      </w:r>
    </w:p>
    <w:p w:rsidR="00FB7150" w:rsidRPr="004F6B24" w:rsidRDefault="00FB7150">
      <w:pPr>
        <w:rPr>
          <w:rFonts w:cstheme="minorHAnsi"/>
          <w:color w:val="000000" w:themeColor="text1"/>
          <w:shd w:val="clear" w:color="auto" w:fill="FFFFFF"/>
          <w:lang w:val="es-ES_tradnl"/>
        </w:rPr>
      </w:pPr>
      <w:r w:rsidRPr="004F6B24">
        <w:rPr>
          <w:rFonts w:cstheme="minorHAnsi"/>
          <w:color w:val="000000" w:themeColor="text1"/>
          <w:shd w:val="clear" w:color="auto" w:fill="FFFFFF"/>
          <w:lang w:val="es-ES_tradnl"/>
        </w:rPr>
        <w:t>Banca Popolare FriulAdria nace en el año 1911 con el nombre de Banca Cooperativa Popolare di Pordenone y en un profundo legado con el propio territorio que lo acompañará constantemente en su camin</w:t>
      </w:r>
      <w:r w:rsidR="00777A33">
        <w:rPr>
          <w:rFonts w:cstheme="minorHAnsi"/>
          <w:color w:val="000000" w:themeColor="text1"/>
          <w:shd w:val="clear" w:color="auto" w:fill="FFFFFF"/>
          <w:lang w:val="es-ES_tradnl"/>
        </w:rPr>
        <w:t>o. En los años sesenta, el banco</w:t>
      </w:r>
      <w:r w:rsidRPr="004F6B24">
        <w:rPr>
          <w:rFonts w:cstheme="minorHAnsi"/>
          <w:color w:val="000000" w:themeColor="text1"/>
          <w:shd w:val="clear" w:color="auto" w:fill="FFFFFF"/>
          <w:lang w:val="es-ES_tradnl"/>
        </w:rPr>
        <w:t xml:space="preserve"> contribuye al pequeño milagro economico de Pordenone, todo dentro del gran boom económico de la Italia Post belica.</w:t>
      </w:r>
    </w:p>
    <w:p w:rsidR="00FB7150" w:rsidRPr="004F6B24" w:rsidRDefault="00FB7150">
      <w:pPr>
        <w:rPr>
          <w:rFonts w:cstheme="minorHAnsi"/>
          <w:color w:val="000000" w:themeColor="text1"/>
          <w:shd w:val="clear" w:color="auto" w:fill="FFFFFF"/>
          <w:lang w:val="es-ES_tradnl"/>
        </w:rPr>
      </w:pPr>
      <w:r w:rsidRPr="004F6B24">
        <w:rPr>
          <w:rFonts w:cstheme="minorHAnsi"/>
          <w:color w:val="000000" w:themeColor="text1"/>
          <w:shd w:val="clear" w:color="auto" w:fill="FFFFFF"/>
          <w:lang w:val="es-ES_tradnl"/>
        </w:rPr>
        <w:t>La incorporación de algunas instituciones locales y  el desarrollo provincial da inicio a un crecimiento constante e inimterrumpido. En los años nov</w:t>
      </w:r>
      <w:r w:rsidR="00777A33">
        <w:rPr>
          <w:rFonts w:cstheme="minorHAnsi"/>
          <w:color w:val="000000" w:themeColor="text1"/>
          <w:shd w:val="clear" w:color="auto" w:fill="FFFFFF"/>
          <w:lang w:val="es-ES_tradnl"/>
        </w:rPr>
        <w:t>enta se fusionó con otros tres banco</w:t>
      </w:r>
      <w:r w:rsidRPr="004F6B24">
        <w:rPr>
          <w:rFonts w:cstheme="minorHAnsi"/>
          <w:color w:val="000000" w:themeColor="text1"/>
          <w:shd w:val="clear" w:color="auto" w:fill="FFFFFF"/>
          <w:lang w:val="es-ES_tradnl"/>
        </w:rPr>
        <w:t>s que son Banca Cooperativa Operaia di Pordenone, la Banca Popolare di Tarcento y la Banca Popolare di Latisana. Después de la estación de desarrollo interno del grupo Inte</w:t>
      </w:r>
      <w:r w:rsidR="00777A33">
        <w:rPr>
          <w:rFonts w:cstheme="minorHAnsi"/>
          <w:color w:val="000000" w:themeColor="text1"/>
          <w:shd w:val="clear" w:color="auto" w:fill="FFFFFF"/>
          <w:lang w:val="es-ES_tradnl"/>
        </w:rPr>
        <w:t>sa, en marzo del 2007 FriulAdria</w:t>
      </w:r>
      <w:r w:rsidRPr="004F6B24">
        <w:rPr>
          <w:rFonts w:cstheme="minorHAnsi"/>
          <w:color w:val="000000" w:themeColor="text1"/>
          <w:shd w:val="clear" w:color="auto" w:fill="FFFFFF"/>
          <w:lang w:val="es-ES_tradnl"/>
        </w:rPr>
        <w:t xml:space="preserve"> entró a formar parte del nuevo grupo bancario italiano</w:t>
      </w:r>
      <w:r w:rsidR="003B0D65" w:rsidRPr="004F6B24">
        <w:rPr>
          <w:rFonts w:cstheme="minorHAnsi"/>
          <w:color w:val="000000" w:themeColor="text1"/>
          <w:shd w:val="clear" w:color="auto" w:fill="FFFFFF"/>
          <w:lang w:val="es-ES_tradnl"/>
        </w:rPr>
        <w:t xml:space="preserve"> liderado por</w:t>
      </w:r>
      <w:r w:rsidR="004F6B24" w:rsidRPr="004F6B24">
        <w:rPr>
          <w:rFonts w:cstheme="minorHAnsi"/>
          <w:color w:val="000000" w:themeColor="text1"/>
          <w:shd w:val="clear" w:color="auto" w:fill="FFFFFF"/>
          <w:lang w:val="es-ES_tradnl"/>
        </w:rPr>
        <w:t xml:space="preserve"> Cariparma y controlado por Crè</w:t>
      </w:r>
      <w:r w:rsidR="003B0D65" w:rsidRPr="004F6B24">
        <w:rPr>
          <w:rFonts w:cstheme="minorHAnsi"/>
          <w:color w:val="000000" w:themeColor="text1"/>
          <w:shd w:val="clear" w:color="auto" w:fill="FFFFFF"/>
          <w:lang w:val="es-ES_tradnl"/>
        </w:rPr>
        <w:t>dit Agricole, con el objetivo de expandir su presencia sobre todo el Triveneto.</w:t>
      </w:r>
    </w:p>
    <w:p w:rsidR="003B0D65" w:rsidRPr="004F6B24" w:rsidRDefault="00777A33">
      <w:pPr>
        <w:rPr>
          <w:rFonts w:cstheme="minorHAnsi"/>
          <w:color w:val="000000" w:themeColor="text1"/>
          <w:shd w:val="clear" w:color="auto" w:fill="FFFFFF"/>
          <w:lang w:val="es-ES_tradnl"/>
        </w:rPr>
      </w:pPr>
      <w:r>
        <w:rPr>
          <w:rFonts w:cstheme="minorHAnsi"/>
          <w:color w:val="000000" w:themeColor="text1"/>
          <w:shd w:val="clear" w:color="auto" w:fill="FFFFFF"/>
          <w:lang w:val="es-ES_tradnl"/>
        </w:rPr>
        <w:t>Hoy FriulAdria</w:t>
      </w:r>
      <w:r w:rsidR="003B0D65" w:rsidRPr="004F6B24">
        <w:rPr>
          <w:rFonts w:cstheme="minorHAnsi"/>
          <w:color w:val="000000" w:themeColor="text1"/>
          <w:shd w:val="clear" w:color="auto" w:fill="FFFFFF"/>
          <w:lang w:val="es-ES_tradnl"/>
        </w:rPr>
        <w:t>, cuenta con 209 oficinas y 15 centros operantes en Friuli Venezia Giulia y en el Veneto, con 1700 empleados y casi 12000 socios, representando un importante punto de inlfuencia para todas las familias y las impresas del Noreste de Italia.</w:t>
      </w:r>
    </w:p>
    <w:p w:rsidR="001E6E9E" w:rsidRPr="004F6B24" w:rsidRDefault="00942EC1">
      <w:pPr>
        <w:rPr>
          <w:rFonts w:cstheme="minorHAnsi"/>
          <w:lang w:val="es-ES_tradnl"/>
        </w:rPr>
      </w:pPr>
      <w:r w:rsidRPr="004F6B24">
        <w:rPr>
          <w:rFonts w:cstheme="minorHAnsi"/>
          <w:lang w:val="es-ES_tradnl"/>
        </w:rPr>
        <w:t xml:space="preserve">A continuación, voy a hablaros del fondo de pensiones abierto que </w:t>
      </w:r>
      <w:r w:rsidR="00BB69D7">
        <w:rPr>
          <w:rFonts w:cstheme="minorHAnsi"/>
          <w:lang w:val="es-ES_tradnl"/>
        </w:rPr>
        <w:t xml:space="preserve">ofrece </w:t>
      </w:r>
      <w:r w:rsidRPr="004F6B24">
        <w:rPr>
          <w:rFonts w:cstheme="minorHAnsi"/>
          <w:lang w:val="es-ES_tradnl"/>
        </w:rPr>
        <w:t xml:space="preserve">nuestro banco. Este fondo de pensiones se dirige a personas que buscan una pensión complementaria. Especialmente dirigida a trabajadores autónomos, personas  que no trabajan y trabajadores dependientes. También se dirige a grupos colectivos que </w:t>
      </w:r>
      <w:r w:rsidR="00777A33">
        <w:rPr>
          <w:rFonts w:cstheme="minorHAnsi"/>
          <w:lang w:val="es-ES_tradnl"/>
        </w:rPr>
        <w:t xml:space="preserve">vaya seguido de un acuerdo con hacienda para que </w:t>
      </w:r>
      <w:r w:rsidRPr="004F6B24">
        <w:rPr>
          <w:rFonts w:cstheme="minorHAnsi"/>
          <w:lang w:val="es-ES_tradnl"/>
        </w:rPr>
        <w:t xml:space="preserve">regule las condiciones. </w:t>
      </w:r>
    </w:p>
    <w:p w:rsidR="00942EC1" w:rsidRPr="004F6B24" w:rsidRDefault="00942EC1">
      <w:pPr>
        <w:rPr>
          <w:rFonts w:cstheme="minorHAnsi"/>
          <w:lang w:val="es-ES_tradnl"/>
        </w:rPr>
      </w:pPr>
      <w:r w:rsidRPr="004F6B24">
        <w:rPr>
          <w:rFonts w:cstheme="minorHAnsi"/>
          <w:lang w:val="es-ES_tradnl"/>
        </w:rPr>
        <w:t>Nuestro objetivo es m</w:t>
      </w:r>
      <w:r w:rsidR="00BB69D7">
        <w:rPr>
          <w:rFonts w:cstheme="minorHAnsi"/>
          <w:lang w:val="es-ES_tradnl"/>
        </w:rPr>
        <w:t>ejorar tu calidad de vida despué</w:t>
      </w:r>
      <w:r w:rsidRPr="004F6B24">
        <w:rPr>
          <w:rFonts w:cstheme="minorHAnsi"/>
          <w:lang w:val="es-ES_tradnl"/>
        </w:rPr>
        <w:t>s d</w:t>
      </w:r>
      <w:r w:rsidR="00777A33">
        <w:rPr>
          <w:rFonts w:cstheme="minorHAnsi"/>
          <w:lang w:val="es-ES_tradnl"/>
        </w:rPr>
        <w:t>el trabajo con una pensió</w:t>
      </w:r>
      <w:r w:rsidRPr="004F6B24">
        <w:rPr>
          <w:rFonts w:cstheme="minorHAnsi"/>
          <w:lang w:val="es-ES_tradnl"/>
        </w:rPr>
        <w:t>n complementa</w:t>
      </w:r>
      <w:r w:rsidR="00E713D9" w:rsidRPr="004F6B24">
        <w:rPr>
          <w:rFonts w:cstheme="minorHAnsi"/>
          <w:lang w:val="es-ES_tradnl"/>
        </w:rPr>
        <w:t xml:space="preserve">ria a la publica que satisfaga </w:t>
      </w:r>
      <w:r w:rsidRPr="004F6B24">
        <w:rPr>
          <w:rFonts w:cstheme="minorHAnsi"/>
          <w:lang w:val="es-ES_tradnl"/>
        </w:rPr>
        <w:t xml:space="preserve"> tu vida y </w:t>
      </w:r>
      <w:r w:rsidR="00E713D9" w:rsidRPr="004F6B24">
        <w:rPr>
          <w:rFonts w:cstheme="minorHAnsi"/>
          <w:lang w:val="es-ES_tradnl"/>
        </w:rPr>
        <w:t>l</w:t>
      </w:r>
      <w:r w:rsidRPr="004F6B24">
        <w:rPr>
          <w:rFonts w:cstheme="minorHAnsi"/>
          <w:lang w:val="es-ES_tradnl"/>
        </w:rPr>
        <w:t xml:space="preserve">a </w:t>
      </w:r>
      <w:r w:rsidR="00E713D9" w:rsidRPr="004F6B24">
        <w:rPr>
          <w:rFonts w:cstheme="minorHAnsi"/>
          <w:lang w:val="es-ES_tradnl"/>
        </w:rPr>
        <w:t xml:space="preserve">de </w:t>
      </w:r>
      <w:r w:rsidRPr="004F6B24">
        <w:rPr>
          <w:rFonts w:cstheme="minorHAnsi"/>
          <w:lang w:val="es-ES_tradnl"/>
        </w:rPr>
        <w:t>tu familia.</w:t>
      </w:r>
    </w:p>
    <w:p w:rsidR="00E713D9" w:rsidRPr="004F6B24" w:rsidRDefault="0071216C">
      <w:pPr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¿</w:t>
      </w:r>
      <w:r w:rsidR="00E713D9" w:rsidRPr="004F6B24">
        <w:rPr>
          <w:rFonts w:cstheme="minorHAnsi"/>
          <w:b/>
          <w:lang w:val="es-ES_tradnl"/>
        </w:rPr>
        <w:t>Qué ofrecemos?</w:t>
      </w:r>
    </w:p>
    <w:p w:rsidR="00E713D9" w:rsidRPr="004F6B24" w:rsidRDefault="00FB5AFE">
      <w:p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Las diversas lineas de inversión</w:t>
      </w:r>
      <w:r w:rsidR="00E713D9" w:rsidRPr="004F6B24">
        <w:rPr>
          <w:rFonts w:cstheme="minorHAnsi"/>
          <w:lang w:val="es-ES_tradnl"/>
        </w:rPr>
        <w:t xml:space="preserve"> previstas por nuestro banco, se caracterizan </w:t>
      </w:r>
      <w:r w:rsidR="00777A33">
        <w:rPr>
          <w:rFonts w:cstheme="minorHAnsi"/>
          <w:lang w:val="es-ES_tradnl"/>
        </w:rPr>
        <w:t>por diferentes estilos de gestió</w:t>
      </w:r>
      <w:r w:rsidR="00E713D9" w:rsidRPr="004F6B24">
        <w:rPr>
          <w:rFonts w:cstheme="minorHAnsi"/>
          <w:lang w:val="es-ES_tradnl"/>
        </w:rPr>
        <w:t>n financiaria dependiendo del perfil del inversor. Consiguiendo así una perfecta respuesta a tus exigencias y a tus expectativas.</w:t>
      </w:r>
    </w:p>
    <w:p w:rsidR="00E713D9" w:rsidRPr="000344CD" w:rsidRDefault="000344CD" w:rsidP="000344CD">
      <w:pPr>
        <w:jc w:val="center"/>
        <w:rPr>
          <w:rFonts w:cstheme="minorHAnsi"/>
        </w:rPr>
      </w:pPr>
      <w:r w:rsidRPr="000344CD">
        <w:rPr>
          <w:rFonts w:cstheme="minorHAnsi"/>
          <w:noProof/>
          <w:lang w:val="es-ES" w:eastAsia="es-ES"/>
        </w:rPr>
        <w:drawing>
          <wp:inline distT="0" distB="0" distL="0" distR="0">
            <wp:extent cx="3543300" cy="2505075"/>
            <wp:effectExtent l="19050" t="0" r="0" b="0"/>
            <wp:docPr id="1" name="Immagine 0" descr="fondopov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povita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D5" w:rsidRPr="004F6B24" w:rsidRDefault="00777A33" w:rsidP="004F5AD5">
      <w:pPr>
        <w:rPr>
          <w:rFonts w:cstheme="minorHAnsi"/>
          <w:u w:val="single"/>
          <w:lang w:val="es-ES_tradnl"/>
        </w:rPr>
      </w:pPr>
      <w:r>
        <w:rPr>
          <w:rFonts w:cstheme="minorHAnsi"/>
          <w:u w:val="single"/>
          <w:lang w:val="es-ES_tradnl"/>
        </w:rPr>
        <w:lastRenderedPageBreak/>
        <w:t>Lí</w:t>
      </w:r>
      <w:r w:rsidR="00E713D9" w:rsidRPr="004F6B24">
        <w:rPr>
          <w:rFonts w:cstheme="minorHAnsi"/>
          <w:u w:val="single"/>
          <w:lang w:val="es-ES_tradnl"/>
        </w:rPr>
        <w:t>nea Ticino</w:t>
      </w:r>
      <w:r w:rsidR="000344CD" w:rsidRPr="004F6B24">
        <w:rPr>
          <w:rFonts w:cstheme="minorHAnsi"/>
          <w:u w:val="single"/>
          <w:lang w:val="es-ES_tradnl"/>
        </w:rPr>
        <w:t xml:space="preserve"> </w:t>
      </w:r>
    </w:p>
    <w:p w:rsidR="00C12C74" w:rsidRPr="004F6B24" w:rsidRDefault="004F5AD5" w:rsidP="004F5AD5">
      <w:pPr>
        <w:rPr>
          <w:rFonts w:cstheme="minorHAnsi"/>
          <w:lang w:val="es-ES_tradnl"/>
        </w:rPr>
      </w:pPr>
      <w:r w:rsidRPr="004F6B24">
        <w:rPr>
          <w:rFonts w:cstheme="minorHAnsi"/>
          <w:lang w:val="es-ES_tradnl"/>
        </w:rPr>
        <w:t xml:space="preserve">Es una línea equilibrada que invierte en </w:t>
      </w:r>
      <w:r w:rsidR="00777A33">
        <w:rPr>
          <w:rFonts w:cstheme="minorHAnsi"/>
          <w:lang w:val="es-ES_tradnl"/>
        </w:rPr>
        <w:t>bonos</w:t>
      </w:r>
      <w:r w:rsidRPr="004F6B24">
        <w:rPr>
          <w:rFonts w:cstheme="minorHAnsi"/>
          <w:lang w:val="es-ES_tradnl"/>
        </w:rPr>
        <w:t xml:space="preserve"> y en menor medida en valores similares a las acciones en euros y otras monedas, con una garantía financiera equivalente al 2% anual.La gar</w:t>
      </w:r>
      <w:r w:rsidR="00777A33">
        <w:rPr>
          <w:rFonts w:cstheme="minorHAnsi"/>
          <w:lang w:val="es-ES_tradnl"/>
        </w:rPr>
        <w:t>antí</w:t>
      </w:r>
      <w:r w:rsidRPr="004F6B24">
        <w:rPr>
          <w:rFonts w:cstheme="minorHAnsi"/>
          <w:lang w:val="es-ES_tradnl"/>
        </w:rPr>
        <w:t>a financiera es reconocida en los siguientes casos:</w:t>
      </w:r>
    </w:p>
    <w:p w:rsidR="004F5AD5" w:rsidRPr="004F6B24" w:rsidRDefault="004F5AD5" w:rsidP="004F5AD5">
      <w:pPr>
        <w:rPr>
          <w:rFonts w:cstheme="minorHAnsi"/>
          <w:lang w:val="es-ES_tradnl"/>
        </w:rPr>
      </w:pPr>
      <w:r w:rsidRPr="004F6B24">
        <w:rPr>
          <w:rFonts w:cstheme="minorHAnsi"/>
          <w:lang w:val="es-ES_tradnl"/>
        </w:rPr>
        <w:t>-ejer</w:t>
      </w:r>
      <w:r w:rsidR="00777A33">
        <w:rPr>
          <w:rFonts w:cstheme="minorHAnsi"/>
          <w:lang w:val="es-ES_tradnl"/>
        </w:rPr>
        <w:t>cicio del derecho a la prestación de pensió</w:t>
      </w:r>
      <w:r w:rsidRPr="004F6B24">
        <w:rPr>
          <w:rFonts w:cstheme="minorHAnsi"/>
          <w:lang w:val="es-ES_tradnl"/>
        </w:rPr>
        <w:t>n</w:t>
      </w:r>
    </w:p>
    <w:p w:rsidR="004F5AD5" w:rsidRPr="004F6B24" w:rsidRDefault="00777A33" w:rsidP="004F5AD5">
      <w:p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-d</w:t>
      </w:r>
      <w:r w:rsidR="004F5AD5" w:rsidRPr="004F6B24">
        <w:rPr>
          <w:rFonts w:cstheme="minorHAnsi"/>
          <w:lang w:val="es-ES_tradnl"/>
        </w:rPr>
        <w:t>erecho a los familiar</w:t>
      </w:r>
      <w:r>
        <w:rPr>
          <w:rFonts w:cstheme="minorHAnsi"/>
          <w:lang w:val="es-ES_tradnl"/>
        </w:rPr>
        <w:t>es a la contraprestaciòn del cré</w:t>
      </w:r>
      <w:r w:rsidR="004F5AD5" w:rsidRPr="004F6B24">
        <w:rPr>
          <w:rFonts w:cstheme="minorHAnsi"/>
          <w:lang w:val="es-ES_tradnl"/>
        </w:rPr>
        <w:t>dito en caso de muerte del titular y en caso de invalidez permanente para realizar cualquier tipo de trabajo.</w:t>
      </w:r>
    </w:p>
    <w:p w:rsidR="00C12C74" w:rsidRPr="004F6B24" w:rsidRDefault="000344CD" w:rsidP="000344CD">
      <w:pPr>
        <w:rPr>
          <w:rFonts w:cstheme="minorHAnsi"/>
          <w:lang w:val="es-ES_tradnl"/>
        </w:rPr>
      </w:pPr>
      <w:r w:rsidRPr="004F6B24">
        <w:rPr>
          <w:rFonts w:cstheme="minorHAnsi"/>
          <w:lang w:val="es-ES_tradnl"/>
        </w:rPr>
        <w:t>Es una inversi</w:t>
      </w:r>
      <w:r w:rsidR="00777A33">
        <w:rPr>
          <w:rFonts w:cstheme="minorHAnsi"/>
          <w:lang w:val="es-ES_tradnl"/>
        </w:rPr>
        <w:t>ón con un nivel de riesgo medio, y como ya he dicho p</w:t>
      </w:r>
      <w:r w:rsidRPr="004F6B24">
        <w:rPr>
          <w:rFonts w:cstheme="minorHAnsi"/>
          <w:lang w:val="es-ES_tradnl"/>
        </w:rPr>
        <w:t>revé inversiones e</w:t>
      </w:r>
      <w:r w:rsidR="002961BC">
        <w:rPr>
          <w:rFonts w:cstheme="minorHAnsi"/>
          <w:lang w:val="es-ES_tradnl"/>
        </w:rPr>
        <w:t>n</w:t>
      </w:r>
      <w:r w:rsidRPr="004F6B24">
        <w:rPr>
          <w:rFonts w:cstheme="minorHAnsi"/>
          <w:lang w:val="es-ES_tradnl"/>
        </w:rPr>
        <w:t xml:space="preserve"> bonos, con una r</w:t>
      </w:r>
      <w:r w:rsidR="00C12C74" w:rsidRPr="004F6B24">
        <w:rPr>
          <w:rFonts w:cstheme="minorHAnsi"/>
          <w:lang w:val="es-ES_tradnl"/>
        </w:rPr>
        <w:t>entabilidad mínima garantizada.</w:t>
      </w:r>
    </w:p>
    <w:p w:rsidR="000344CD" w:rsidRPr="004F6B24" w:rsidRDefault="000344CD" w:rsidP="000344CD">
      <w:pPr>
        <w:rPr>
          <w:rFonts w:cstheme="minorHAnsi"/>
          <w:lang w:val="es-ES_tradnl"/>
        </w:rPr>
      </w:pPr>
      <w:r w:rsidRPr="004F6B24">
        <w:rPr>
          <w:rFonts w:cstheme="minorHAnsi"/>
          <w:lang w:val="es-ES_tradnl"/>
        </w:rPr>
        <w:t>Es conveniente para los miembros dispuestos a asumir un riesgo moderado en  frente de un mayor rendimiento y la presencia de garantías, reconocida en determinadas circunstancias, lo hace adecuado para aquellos que están cerca de la jubilación.</w:t>
      </w:r>
    </w:p>
    <w:p w:rsidR="00C12C74" w:rsidRPr="004F6B24" w:rsidRDefault="000344CD" w:rsidP="000344CD">
      <w:pPr>
        <w:rPr>
          <w:rFonts w:cstheme="minorHAnsi"/>
          <w:lang w:val="es-ES_tradnl"/>
        </w:rPr>
      </w:pPr>
      <w:r w:rsidRPr="004F6B24">
        <w:rPr>
          <w:rFonts w:cstheme="minorHAnsi"/>
          <w:lang w:val="es-ES_tradnl"/>
        </w:rPr>
        <w:t>El punto de referencia se compone de:</w:t>
      </w:r>
    </w:p>
    <w:p w:rsidR="000344CD" w:rsidRPr="004F6B24" w:rsidRDefault="004F6B24" w:rsidP="000344CD">
      <w:p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85 %</w:t>
      </w:r>
      <w:r w:rsidR="000344CD" w:rsidRPr="004F6B24">
        <w:rPr>
          <w:rFonts w:cstheme="minorHAnsi"/>
          <w:lang w:val="es-ES_tradnl"/>
        </w:rPr>
        <w:t xml:space="preserve"> Citigroup EMU GBI 3-7 años;</w:t>
      </w:r>
    </w:p>
    <w:p w:rsidR="000344CD" w:rsidRPr="007F19C1" w:rsidRDefault="000344CD" w:rsidP="000344CD">
      <w:pPr>
        <w:rPr>
          <w:rFonts w:cstheme="minorHAnsi"/>
          <w:lang w:val="es-ES_tradnl"/>
        </w:rPr>
      </w:pPr>
      <w:r w:rsidRPr="007F19C1">
        <w:rPr>
          <w:rFonts w:cstheme="minorHAnsi"/>
          <w:lang w:val="es-ES_tradnl"/>
        </w:rPr>
        <w:t>15% DJ Eurostoxx 50.</w:t>
      </w:r>
    </w:p>
    <w:p w:rsidR="000344CD" w:rsidRPr="000344CD" w:rsidRDefault="00C12C74" w:rsidP="00C12C74">
      <w:pPr>
        <w:jc w:val="center"/>
        <w:rPr>
          <w:rFonts w:cstheme="minorHAnsi"/>
        </w:rPr>
      </w:pPr>
      <w:r>
        <w:rPr>
          <w:rFonts w:cstheme="minorHAnsi"/>
          <w:noProof/>
          <w:lang w:val="es-ES" w:eastAsia="es-ES"/>
        </w:rPr>
        <w:drawing>
          <wp:inline distT="0" distB="0" distL="0" distR="0">
            <wp:extent cx="4191000" cy="3252613"/>
            <wp:effectExtent l="19050" t="0" r="0" b="0"/>
            <wp:docPr id="2" name="Immagine 1" descr="linea_tici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a_ticin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8200" cy="3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D5" w:rsidRPr="000344CD" w:rsidRDefault="004F5AD5" w:rsidP="004F5AD5"/>
    <w:p w:rsidR="004F5AD5" w:rsidRPr="000344CD" w:rsidRDefault="004F5AD5" w:rsidP="004F5AD5"/>
    <w:p w:rsidR="004F5AD5" w:rsidRPr="004F6B24" w:rsidRDefault="00777A33" w:rsidP="004F5AD5">
      <w:pPr>
        <w:rPr>
          <w:u w:val="single"/>
          <w:lang w:val="es-ES_tradnl"/>
        </w:rPr>
      </w:pPr>
      <w:r>
        <w:rPr>
          <w:u w:val="single"/>
          <w:lang w:val="es-ES_tradnl"/>
        </w:rPr>
        <w:t>Lí</w:t>
      </w:r>
      <w:r w:rsidR="004F5AD5" w:rsidRPr="004F6B24">
        <w:rPr>
          <w:u w:val="single"/>
          <w:lang w:val="es-ES_tradnl"/>
        </w:rPr>
        <w:t>nea Trebbia</w:t>
      </w:r>
    </w:p>
    <w:p w:rsidR="00C12C74" w:rsidRPr="004F6B24" w:rsidRDefault="004F5AD5" w:rsidP="00C12C74">
      <w:pPr>
        <w:rPr>
          <w:lang w:val="es-ES_tradnl"/>
        </w:rPr>
      </w:pPr>
      <w:r w:rsidRPr="004F6B24">
        <w:rPr>
          <w:lang w:val="es-ES_tradnl"/>
        </w:rPr>
        <w:t>Es una línea equilibrada, con la capacidad de almacenar hasta un máximo del 70% del patrimonio en activos de renta variable en gestión.</w:t>
      </w:r>
    </w:p>
    <w:p w:rsidR="00C12C74" w:rsidRPr="004F6B24" w:rsidRDefault="00C12C74" w:rsidP="00C12C74">
      <w:pPr>
        <w:rPr>
          <w:lang w:val="es-ES_tradnl"/>
        </w:rPr>
      </w:pPr>
      <w:r w:rsidRPr="004F6B24">
        <w:rPr>
          <w:lang w:val="es-ES_tradnl"/>
        </w:rPr>
        <w:lastRenderedPageBreak/>
        <w:t xml:space="preserve">Es una inversión con un grado de riesgo medio o alto. </w:t>
      </w:r>
    </w:p>
    <w:p w:rsidR="00C12C74" w:rsidRPr="004F6B24" w:rsidRDefault="00C12C74" w:rsidP="00C12C74">
      <w:pPr>
        <w:rPr>
          <w:lang w:val="es-ES_tradnl"/>
        </w:rPr>
      </w:pPr>
      <w:r w:rsidRPr="004F6B24">
        <w:rPr>
          <w:lang w:val="es-ES_tradnl"/>
        </w:rPr>
        <w:t>Proporciona una</w:t>
      </w:r>
      <w:r w:rsidR="00777A33">
        <w:rPr>
          <w:lang w:val="es-ES_tradnl"/>
        </w:rPr>
        <w:t xml:space="preserve"> gestión dinámica de la cartera</w:t>
      </w:r>
      <w:r w:rsidR="00611439">
        <w:rPr>
          <w:lang w:val="es-ES_tradnl"/>
        </w:rPr>
        <w:t xml:space="preserve"> de valores</w:t>
      </w:r>
      <w:r w:rsidRPr="004F6B24">
        <w:rPr>
          <w:lang w:val="es-ES_tradnl"/>
        </w:rPr>
        <w:t>, entre las acciones y los mercados de bonos. Los valores de renta variable no puede superar el 70% del activo.</w:t>
      </w:r>
    </w:p>
    <w:p w:rsidR="00C12C74" w:rsidRPr="004F6B24" w:rsidRDefault="00C12C74" w:rsidP="00C12C74">
      <w:pPr>
        <w:rPr>
          <w:lang w:val="es-ES_tradnl"/>
        </w:rPr>
      </w:pPr>
      <w:r w:rsidRPr="004F6B24">
        <w:rPr>
          <w:lang w:val="es-ES_tradnl"/>
        </w:rPr>
        <w:t xml:space="preserve"> Es adecuado </w:t>
      </w:r>
      <w:r w:rsidR="00611439">
        <w:rPr>
          <w:lang w:val="es-ES_tradnl"/>
        </w:rPr>
        <w:t>par</w:t>
      </w:r>
      <w:r w:rsidRPr="004F6B24">
        <w:rPr>
          <w:lang w:val="es-ES_tradnl"/>
        </w:rPr>
        <w:t>a los miembros que aún no estàn cerca a la jubilación y están dispuestos a aceptar una exposición de riesgo medio a fin de aprovechar las oportunidades de mayor rentabilidad.</w:t>
      </w:r>
    </w:p>
    <w:p w:rsidR="00C12C74" w:rsidRPr="004F6B24" w:rsidRDefault="00C12C74" w:rsidP="00C12C74">
      <w:pPr>
        <w:rPr>
          <w:lang w:val="es-ES_tradnl"/>
        </w:rPr>
      </w:pPr>
      <w:r w:rsidRPr="004F6B24">
        <w:rPr>
          <w:lang w:val="es-ES_tradnl"/>
        </w:rPr>
        <w:t xml:space="preserve"> El </w:t>
      </w:r>
      <w:r w:rsidR="00606AA4">
        <w:rPr>
          <w:lang w:val="es-ES_tradnl"/>
        </w:rPr>
        <w:t>estandar de comparación</w:t>
      </w:r>
      <w:r w:rsidRPr="004F6B24">
        <w:rPr>
          <w:lang w:val="es-ES_tradnl"/>
        </w:rPr>
        <w:t xml:space="preserve"> se compone de:</w:t>
      </w:r>
    </w:p>
    <w:p w:rsidR="00C12C74" w:rsidRPr="004F6B24" w:rsidRDefault="00C12C74" w:rsidP="00C12C74">
      <w:pPr>
        <w:rPr>
          <w:lang w:val="es-ES_tradnl"/>
        </w:rPr>
      </w:pPr>
      <w:r w:rsidRPr="004F6B24">
        <w:rPr>
          <w:lang w:val="es-ES_tradnl"/>
        </w:rPr>
        <w:t>50% JP Morgan Gbno. Bond - Europa en euros;</w:t>
      </w:r>
    </w:p>
    <w:p w:rsidR="00C12C74" w:rsidRPr="004F6B24" w:rsidRDefault="00C12C74" w:rsidP="00C12C74">
      <w:pPr>
        <w:rPr>
          <w:lang w:val="es-ES_tradnl"/>
        </w:rPr>
      </w:pPr>
      <w:r w:rsidRPr="004F6B24">
        <w:rPr>
          <w:lang w:val="es-ES_tradnl"/>
        </w:rPr>
        <w:t>50% MSCI World Free en dólares estadounidenses convertidos a euros.</w:t>
      </w:r>
    </w:p>
    <w:p w:rsidR="00C12C74" w:rsidRPr="00C12C74" w:rsidRDefault="00C12C74" w:rsidP="00C12C74">
      <w:pPr>
        <w:jc w:val="center"/>
        <w:rPr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4695825" cy="2603216"/>
            <wp:effectExtent l="19050" t="0" r="9525" b="0"/>
            <wp:docPr id="3" name="Immagine 2" descr="linea_trebb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a_trebbia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463" cy="260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D5" w:rsidRPr="00C12C74" w:rsidRDefault="004F5AD5" w:rsidP="004F5AD5">
      <w:pPr>
        <w:rPr>
          <w:u w:val="single"/>
          <w:lang w:val="en-US"/>
        </w:rPr>
      </w:pPr>
    </w:p>
    <w:p w:rsidR="004F5AD5" w:rsidRPr="004F6B24" w:rsidRDefault="004F5AD5" w:rsidP="004F5AD5">
      <w:pPr>
        <w:rPr>
          <w:u w:val="single"/>
          <w:lang w:val="es-ES_tradnl"/>
        </w:rPr>
      </w:pPr>
      <w:r w:rsidRPr="004F6B24">
        <w:rPr>
          <w:u w:val="single"/>
          <w:lang w:val="es-ES_tradnl"/>
        </w:rPr>
        <w:t>Linea Taro</w:t>
      </w:r>
    </w:p>
    <w:p w:rsidR="004F5AD5" w:rsidRPr="004F6B24" w:rsidRDefault="004F5AD5">
      <w:pPr>
        <w:rPr>
          <w:lang w:val="es-ES_tradnl"/>
        </w:rPr>
      </w:pPr>
      <w:r w:rsidRPr="004F6B24">
        <w:rPr>
          <w:lang w:val="es-ES_tradnl"/>
        </w:rPr>
        <w:t>Es una línea de crédito, que incluye la presencia en renta variable internacional, no menos del 70% de los activos de bajo gestión.</w:t>
      </w:r>
    </w:p>
    <w:p w:rsidR="00C12C74" w:rsidRPr="004F6B24" w:rsidRDefault="00C12C74" w:rsidP="00C12C74">
      <w:pPr>
        <w:rPr>
          <w:lang w:val="es-ES_tradnl"/>
        </w:rPr>
      </w:pPr>
      <w:r w:rsidRPr="004F6B24">
        <w:rPr>
          <w:lang w:val="es-ES_tradnl"/>
        </w:rPr>
        <w:t>Se trata de una inversión con alto grado de riesgo.</w:t>
      </w:r>
    </w:p>
    <w:p w:rsidR="00C12C74" w:rsidRPr="004F6B24" w:rsidRDefault="00C12C74" w:rsidP="00C12C74">
      <w:pPr>
        <w:rPr>
          <w:lang w:val="es-ES_tradnl"/>
        </w:rPr>
      </w:pPr>
      <w:r w:rsidRPr="004F6B24">
        <w:rPr>
          <w:lang w:val="es-ES_tradnl"/>
        </w:rPr>
        <w:t xml:space="preserve">Proporciona una gestión dinámica de la cartera </w:t>
      </w:r>
      <w:r w:rsidR="00611439">
        <w:rPr>
          <w:lang w:val="es-ES_tradnl"/>
        </w:rPr>
        <w:t>de valores</w:t>
      </w:r>
      <w:r w:rsidRPr="004F6B24">
        <w:rPr>
          <w:lang w:val="es-ES_tradnl"/>
        </w:rPr>
        <w:t xml:space="preserve">, entre las acciones y los mercados de bonos. La componente accionaria no puede ser inferior al 70% del </w:t>
      </w:r>
      <w:r w:rsidR="00FF0FD9">
        <w:rPr>
          <w:lang w:val="es-ES_tradnl"/>
        </w:rPr>
        <w:t>patrimonio</w:t>
      </w:r>
      <w:r w:rsidRPr="004F6B24">
        <w:rPr>
          <w:lang w:val="es-ES_tradnl"/>
        </w:rPr>
        <w:t>.</w:t>
      </w:r>
    </w:p>
    <w:p w:rsidR="00C12C74" w:rsidRPr="004F6B24" w:rsidRDefault="00C12C74" w:rsidP="00C12C74">
      <w:pPr>
        <w:rPr>
          <w:lang w:val="es-ES_tradnl"/>
        </w:rPr>
      </w:pPr>
      <w:r w:rsidRPr="004F6B24">
        <w:rPr>
          <w:lang w:val="es-ES_tradnl"/>
        </w:rPr>
        <w:t> Es adecuado para los miembros que tienen un largo período de trabajo antes de la jubilación y están dispuestos a aceptar un mayor riesgo de exposición con el fin de aprovechar las oportunidades de mayor rentabilidad.</w:t>
      </w:r>
    </w:p>
    <w:p w:rsidR="00C12C74" w:rsidRPr="004F6B24" w:rsidRDefault="00C12C74" w:rsidP="00C12C74">
      <w:pPr>
        <w:rPr>
          <w:lang w:val="es-ES_tradnl"/>
        </w:rPr>
      </w:pPr>
      <w:r w:rsidRPr="004F6B24">
        <w:rPr>
          <w:lang w:val="es-ES_tradnl"/>
        </w:rPr>
        <w:t> El punto de referencia se compone de:</w:t>
      </w:r>
    </w:p>
    <w:p w:rsidR="00C12C74" w:rsidRPr="004F6B24" w:rsidRDefault="00C12C74" w:rsidP="00C12C74">
      <w:pPr>
        <w:rPr>
          <w:lang w:val="es-ES_tradnl"/>
        </w:rPr>
      </w:pPr>
      <w:r w:rsidRPr="004F6B24">
        <w:rPr>
          <w:lang w:val="es-ES_tradnl"/>
        </w:rPr>
        <w:t>25% MTS intercambio monetario en euros;</w:t>
      </w:r>
    </w:p>
    <w:p w:rsidR="00C12C74" w:rsidRPr="004F6B24" w:rsidRDefault="00C12C74" w:rsidP="00C12C74">
      <w:pPr>
        <w:rPr>
          <w:lang w:val="es-ES_tradnl"/>
        </w:rPr>
      </w:pPr>
      <w:r w:rsidRPr="004F6B24">
        <w:rPr>
          <w:lang w:val="es-ES_tradnl"/>
        </w:rPr>
        <w:lastRenderedPageBreak/>
        <w:t>75% MSCI World Free en dólares estadounidenses convertidos a euros.</w:t>
      </w:r>
      <w:r>
        <w:rPr>
          <w:noProof/>
          <w:lang w:val="es-ES" w:eastAsia="es-ES"/>
        </w:rPr>
        <w:drawing>
          <wp:inline distT="0" distB="0" distL="0" distR="0">
            <wp:extent cx="3914775" cy="2873687"/>
            <wp:effectExtent l="19050" t="0" r="9525" b="0"/>
            <wp:docPr id="5" name="Immagine 4" descr="linea_ta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a_taro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87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D5" w:rsidRPr="004F6B24" w:rsidRDefault="004F5AD5">
      <w:pPr>
        <w:rPr>
          <w:lang w:val="es-ES_tradnl"/>
        </w:rPr>
      </w:pPr>
    </w:p>
    <w:p w:rsidR="004F5AD5" w:rsidRPr="000344CD" w:rsidRDefault="004F5AD5">
      <w:pPr>
        <w:rPr>
          <w:b/>
        </w:rPr>
      </w:pPr>
      <w:proofErr w:type="spellStart"/>
      <w:r w:rsidRPr="000344CD">
        <w:rPr>
          <w:b/>
        </w:rPr>
        <w:t>Ventajas</w:t>
      </w:r>
      <w:proofErr w:type="spellEnd"/>
      <w:r w:rsidRPr="000344CD">
        <w:rPr>
          <w:b/>
        </w:rPr>
        <w:t xml:space="preserve"> de este </w:t>
      </w:r>
      <w:proofErr w:type="spellStart"/>
      <w:r w:rsidRPr="000344CD">
        <w:rPr>
          <w:b/>
        </w:rPr>
        <w:t>producto</w:t>
      </w:r>
      <w:proofErr w:type="spellEnd"/>
    </w:p>
    <w:p w:rsidR="00A66880" w:rsidRPr="000344CD" w:rsidRDefault="00A66880" w:rsidP="00A66880">
      <w:pPr>
        <w:pStyle w:val="Paragrafoelenco"/>
        <w:numPr>
          <w:ilvl w:val="0"/>
          <w:numId w:val="3"/>
        </w:numPr>
      </w:pPr>
      <w:proofErr w:type="spellStart"/>
      <w:r w:rsidRPr="000344CD">
        <w:t>Personalización</w:t>
      </w:r>
      <w:proofErr w:type="spellEnd"/>
      <w:r w:rsidRPr="000344CD">
        <w:t xml:space="preserve"> de la </w:t>
      </w:r>
      <w:proofErr w:type="spellStart"/>
      <w:r w:rsidRPr="000344CD">
        <w:t>pensión</w:t>
      </w:r>
      <w:proofErr w:type="spellEnd"/>
    </w:p>
    <w:p w:rsidR="00A66880" w:rsidRPr="004F6B24" w:rsidRDefault="00A66880" w:rsidP="00A66880">
      <w:pPr>
        <w:pStyle w:val="Paragrafoelenco"/>
        <w:numPr>
          <w:ilvl w:val="0"/>
          <w:numId w:val="3"/>
        </w:numPr>
        <w:rPr>
          <w:lang w:val="es-ES_tradnl"/>
        </w:rPr>
      </w:pPr>
      <w:r w:rsidRPr="004F6B24">
        <w:rPr>
          <w:lang w:val="es-ES_tradnl"/>
        </w:rPr>
        <w:t>Importe mínimo de los pagos libres.</w:t>
      </w:r>
    </w:p>
    <w:p w:rsidR="00A66880" w:rsidRPr="004F6B24" w:rsidRDefault="00A66880" w:rsidP="00A66880">
      <w:pPr>
        <w:pStyle w:val="Paragrafoelenco"/>
        <w:numPr>
          <w:ilvl w:val="0"/>
          <w:numId w:val="3"/>
        </w:numPr>
        <w:rPr>
          <w:lang w:val="es-ES_tradnl"/>
        </w:rPr>
      </w:pPr>
      <w:r w:rsidRPr="004F6B24">
        <w:rPr>
          <w:lang w:val="es-ES_tradnl"/>
        </w:rPr>
        <w:t>Frecuencia de los pagos mensuales o anuales o a elección</w:t>
      </w:r>
    </w:p>
    <w:p w:rsidR="00A66880" w:rsidRPr="004F6B24" w:rsidRDefault="00A66880" w:rsidP="00A66880">
      <w:pPr>
        <w:pStyle w:val="Paragrafoelenco"/>
        <w:numPr>
          <w:ilvl w:val="0"/>
          <w:numId w:val="3"/>
        </w:numPr>
        <w:rPr>
          <w:lang w:val="es-ES_tradnl"/>
        </w:rPr>
      </w:pPr>
      <w:r w:rsidRPr="004F6B24">
        <w:rPr>
          <w:lang w:val="es-ES_tradnl"/>
        </w:rPr>
        <w:t>Posibilidad de suspender, reanudar, alterar, complementar los pagos</w:t>
      </w:r>
    </w:p>
    <w:p w:rsidR="00A66880" w:rsidRPr="004F6B24" w:rsidRDefault="00A66880" w:rsidP="00A66880">
      <w:pPr>
        <w:pStyle w:val="Paragrafoelenco"/>
        <w:numPr>
          <w:ilvl w:val="0"/>
          <w:numId w:val="3"/>
        </w:numPr>
        <w:rPr>
          <w:lang w:val="es-ES_tradnl"/>
        </w:rPr>
      </w:pPr>
      <w:r w:rsidRPr="004F6B24">
        <w:rPr>
          <w:lang w:val="es-ES_tradnl"/>
        </w:rPr>
        <w:t xml:space="preserve">Disponibilidad </w:t>
      </w:r>
      <w:r w:rsidR="00611439">
        <w:rPr>
          <w:lang w:val="es-ES_tradnl"/>
        </w:rPr>
        <w:t>de 3 tipos de lineas de inversió</w:t>
      </w:r>
      <w:r w:rsidRPr="004F6B24">
        <w:rPr>
          <w:lang w:val="es-ES_tradnl"/>
        </w:rPr>
        <w:t>n</w:t>
      </w:r>
    </w:p>
    <w:p w:rsidR="00A66880" w:rsidRPr="000344CD" w:rsidRDefault="00A66880" w:rsidP="00A66880">
      <w:pPr>
        <w:pStyle w:val="Paragrafoelenco"/>
        <w:numPr>
          <w:ilvl w:val="0"/>
          <w:numId w:val="3"/>
        </w:numPr>
      </w:pPr>
      <w:proofErr w:type="spellStart"/>
      <w:r w:rsidRPr="000344CD">
        <w:t>Rendimiento</w:t>
      </w:r>
      <w:proofErr w:type="spellEnd"/>
      <w:r w:rsidRPr="000344CD">
        <w:t xml:space="preserve"> </w:t>
      </w:r>
      <w:proofErr w:type="spellStart"/>
      <w:r w:rsidRPr="000344CD">
        <w:t>garantizado</w:t>
      </w:r>
      <w:proofErr w:type="spellEnd"/>
      <w:r w:rsidRPr="000344CD">
        <w:t xml:space="preserve"> en </w:t>
      </w:r>
      <w:proofErr w:type="spellStart"/>
      <w:r w:rsidRPr="000344CD">
        <w:t>línea</w:t>
      </w:r>
      <w:proofErr w:type="spellEnd"/>
      <w:r w:rsidRPr="000344CD">
        <w:t xml:space="preserve"> Ticino</w:t>
      </w:r>
    </w:p>
    <w:p w:rsidR="00A66880" w:rsidRPr="004F6B24" w:rsidRDefault="00A66880" w:rsidP="00A66880">
      <w:pPr>
        <w:pStyle w:val="Paragrafoelenco"/>
        <w:numPr>
          <w:ilvl w:val="0"/>
          <w:numId w:val="3"/>
        </w:numPr>
        <w:rPr>
          <w:lang w:val="es-ES_tradnl"/>
        </w:rPr>
      </w:pPr>
      <w:r w:rsidRPr="004F6B24">
        <w:rPr>
          <w:lang w:val="es-ES_tradnl"/>
        </w:rPr>
        <w:t>Capacidad para pasar sin ningún coste adicional de una línea a otra después de un año pasado en la línea anterior</w:t>
      </w:r>
    </w:p>
    <w:p w:rsidR="00A66880" w:rsidRPr="004F6B24" w:rsidRDefault="00A66880" w:rsidP="00A66880">
      <w:pPr>
        <w:pStyle w:val="Paragrafoelenco"/>
        <w:numPr>
          <w:ilvl w:val="0"/>
          <w:numId w:val="3"/>
        </w:numPr>
        <w:rPr>
          <w:lang w:val="es-ES_tradnl"/>
        </w:rPr>
      </w:pPr>
      <w:r w:rsidRPr="004F6B24">
        <w:rPr>
          <w:lang w:val="es-ES_tradnl"/>
        </w:rPr>
        <w:t>Deducibilidad hasta un máximo de 5164,57 €</w:t>
      </w:r>
    </w:p>
    <w:p w:rsidR="00E5292F" w:rsidRPr="004F6B24" w:rsidRDefault="00A66880" w:rsidP="00E5292F">
      <w:pPr>
        <w:pStyle w:val="Paragrafoelenco"/>
        <w:numPr>
          <w:ilvl w:val="0"/>
          <w:numId w:val="3"/>
        </w:numPr>
        <w:rPr>
          <w:lang w:val="es-ES_tradnl"/>
        </w:rPr>
      </w:pPr>
      <w:r w:rsidRPr="004F6B24">
        <w:rPr>
          <w:lang w:val="es-ES_tradnl"/>
        </w:rPr>
        <w:t xml:space="preserve">Oportunidad para seguir el funcionamiento de la empresa por medio de un </w:t>
      </w:r>
      <w:r w:rsidR="00865102">
        <w:rPr>
          <w:lang w:val="es-ES_tradnl"/>
        </w:rPr>
        <w:t>estandar de comparación</w:t>
      </w:r>
      <w:r w:rsidRPr="004F6B24">
        <w:rPr>
          <w:lang w:val="es-ES_tradnl"/>
        </w:rPr>
        <w:t xml:space="preserve"> con el que comparar los resultados con los valores publicados en "Il Sole 24 Ore", y anualmente a través de una correcta comunicación enviada a cada miembro</w:t>
      </w:r>
    </w:p>
    <w:p w:rsidR="00E5292F" w:rsidRPr="004F6B24" w:rsidRDefault="00E5292F" w:rsidP="00E5292F">
      <w:pPr>
        <w:pStyle w:val="Paragrafoelenco"/>
        <w:rPr>
          <w:lang w:val="es-ES_tradnl"/>
        </w:rPr>
      </w:pPr>
    </w:p>
    <w:p w:rsidR="00E5292F" w:rsidRPr="000344CD" w:rsidRDefault="00E5292F" w:rsidP="00E5292F">
      <w:proofErr w:type="spellStart"/>
      <w:r w:rsidRPr="000344CD">
        <w:t>Que</w:t>
      </w:r>
      <w:proofErr w:type="spellEnd"/>
      <w:r w:rsidRPr="000344CD">
        <w:t xml:space="preserve"> </w:t>
      </w:r>
      <w:proofErr w:type="spellStart"/>
      <w:r w:rsidRPr="000344CD">
        <w:t>gastos</w:t>
      </w:r>
      <w:proofErr w:type="spellEnd"/>
      <w:r w:rsidRPr="000344CD">
        <w:t xml:space="preserve"> implica</w:t>
      </w:r>
    </w:p>
    <w:p w:rsidR="00E5292F" w:rsidRPr="000344CD" w:rsidRDefault="00E5292F" w:rsidP="00E5292F">
      <w:pPr>
        <w:pStyle w:val="Paragrafoelenco"/>
        <w:numPr>
          <w:ilvl w:val="0"/>
          <w:numId w:val="5"/>
        </w:numPr>
      </w:pPr>
      <w:proofErr w:type="spellStart"/>
      <w:r w:rsidRPr="000344CD">
        <w:t>Gastos</w:t>
      </w:r>
      <w:proofErr w:type="spellEnd"/>
      <w:r w:rsidRPr="000344CD">
        <w:t xml:space="preserve"> de apertura = </w:t>
      </w:r>
      <w:proofErr w:type="spellStart"/>
      <w:r w:rsidRPr="000344CD">
        <w:t>ninguno</w:t>
      </w:r>
      <w:proofErr w:type="spellEnd"/>
    </w:p>
    <w:p w:rsidR="00E5292F" w:rsidRPr="004F6B24" w:rsidRDefault="00E5292F" w:rsidP="00E5292F">
      <w:pPr>
        <w:pStyle w:val="Paragrafoelenco"/>
        <w:numPr>
          <w:ilvl w:val="0"/>
          <w:numId w:val="5"/>
        </w:numPr>
        <w:rPr>
          <w:lang w:val="es-ES_tradnl"/>
        </w:rPr>
      </w:pPr>
      <w:r w:rsidRPr="004F6B24">
        <w:rPr>
          <w:lang w:val="es-ES_tradnl"/>
        </w:rPr>
        <w:t>Comisión de gestión sobre las contribuciones = 20,00 euros sobre una base anual asumido el pago de la primera anualidad (si el pago no se hace no se aplica en absoluto)</w:t>
      </w:r>
    </w:p>
    <w:p w:rsidR="00E5292F" w:rsidRPr="004F6B24" w:rsidRDefault="00E5292F" w:rsidP="00E5292F">
      <w:pPr>
        <w:pStyle w:val="Paragrafoelenco"/>
        <w:numPr>
          <w:ilvl w:val="0"/>
          <w:numId w:val="5"/>
        </w:numPr>
        <w:rPr>
          <w:lang w:val="es-ES_tradnl"/>
        </w:rPr>
      </w:pPr>
      <w:r w:rsidRPr="004F6B24">
        <w:rPr>
          <w:lang w:val="es-ES_tradnl"/>
        </w:rPr>
        <w:t>Para empresas</w:t>
      </w:r>
      <w:r w:rsidR="00611439">
        <w:rPr>
          <w:lang w:val="es-ES_tradnl"/>
        </w:rPr>
        <w:t xml:space="preserve"> de má</w:t>
      </w:r>
      <w:r w:rsidRPr="004F6B24">
        <w:rPr>
          <w:lang w:val="es-ES_tradnl"/>
        </w:rPr>
        <w:t>s de</w:t>
      </w:r>
      <w:r w:rsidR="00611439">
        <w:rPr>
          <w:lang w:val="es-ES_tradnl"/>
        </w:rPr>
        <w:t xml:space="preserve"> 50 empleados existe una comisió</w:t>
      </w:r>
      <w:r w:rsidRPr="004F6B24">
        <w:rPr>
          <w:lang w:val="es-ES_tradnl"/>
        </w:rPr>
        <w:t>n anual de 10 euros</w:t>
      </w:r>
    </w:p>
    <w:p w:rsidR="00E5292F" w:rsidRPr="000344CD" w:rsidRDefault="00611439" w:rsidP="00E5292F">
      <w:pPr>
        <w:pStyle w:val="Paragrafoelenco"/>
        <w:numPr>
          <w:ilvl w:val="0"/>
          <w:numId w:val="5"/>
        </w:numPr>
      </w:pPr>
      <w:proofErr w:type="spellStart"/>
      <w:r>
        <w:t>Comisió</w:t>
      </w:r>
      <w:r w:rsidR="00E5292F" w:rsidRPr="000344CD">
        <w:t>n</w:t>
      </w:r>
      <w:proofErr w:type="spellEnd"/>
      <w:r w:rsidR="00E5292F" w:rsidRPr="000344CD">
        <w:t xml:space="preserve"> </w:t>
      </w:r>
      <w:proofErr w:type="spellStart"/>
      <w:r w:rsidR="00E5292F" w:rsidRPr="000344CD">
        <w:t>anticipada</w:t>
      </w:r>
      <w:proofErr w:type="spellEnd"/>
      <w:r w:rsidR="00E5292F" w:rsidRPr="000344CD">
        <w:t xml:space="preserve"> = </w:t>
      </w:r>
      <w:proofErr w:type="spellStart"/>
      <w:r w:rsidR="00E5292F" w:rsidRPr="000344CD">
        <w:t>ninguna</w:t>
      </w:r>
      <w:proofErr w:type="spellEnd"/>
    </w:p>
    <w:p w:rsidR="00E5292F" w:rsidRPr="004F6B24" w:rsidRDefault="00E5292F" w:rsidP="00E5292F">
      <w:pPr>
        <w:pStyle w:val="Paragrafoelenco"/>
        <w:numPr>
          <w:ilvl w:val="0"/>
          <w:numId w:val="5"/>
        </w:numPr>
        <w:rPr>
          <w:lang w:val="es-ES_tradnl"/>
        </w:rPr>
      </w:pPr>
      <w:r w:rsidRPr="004F6B24">
        <w:rPr>
          <w:lang w:val="es-ES_tradnl"/>
        </w:rPr>
        <w:t>Comisión en el caso de amortización total o traslado a otro fondo de pensiones = 50,00 €</w:t>
      </w:r>
    </w:p>
    <w:p w:rsidR="004F5AD5" w:rsidRPr="004F6B24" w:rsidRDefault="00611439" w:rsidP="00E5292F">
      <w:pPr>
        <w:pStyle w:val="Paragrafoelenco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Comisión por cambio de lí</w:t>
      </w:r>
      <w:r w:rsidR="00E5292F" w:rsidRPr="004F6B24">
        <w:rPr>
          <w:lang w:val="es-ES_tradnl"/>
        </w:rPr>
        <w:t>nea (posible cada año) = ninguna</w:t>
      </w:r>
    </w:p>
    <w:p w:rsidR="004F5AD5" w:rsidRDefault="00E5292F" w:rsidP="00E5292F">
      <w:pPr>
        <w:pStyle w:val="Paragrafoelenco"/>
        <w:numPr>
          <w:ilvl w:val="0"/>
          <w:numId w:val="5"/>
        </w:numPr>
        <w:rPr>
          <w:lang w:val="es-ES_tradnl"/>
        </w:rPr>
      </w:pPr>
      <w:r w:rsidRPr="004F6B24">
        <w:rPr>
          <w:lang w:val="es-ES_tradnl"/>
        </w:rPr>
        <w:t xml:space="preserve"> Comisión de Gestión = 1,15% anual para la línea d</w:t>
      </w:r>
      <w:r w:rsidR="00611439">
        <w:rPr>
          <w:lang w:val="es-ES_tradnl"/>
        </w:rPr>
        <w:t>e Ticino, 1,20% anual para la lí</w:t>
      </w:r>
      <w:r w:rsidRPr="004F6B24">
        <w:rPr>
          <w:lang w:val="es-ES_tradnl"/>
        </w:rPr>
        <w:t>nea</w:t>
      </w:r>
      <w:r w:rsidR="00611439">
        <w:rPr>
          <w:lang w:val="es-ES_tradnl"/>
        </w:rPr>
        <w:t xml:space="preserve"> Trebbia, 1,40% anual para la lí</w:t>
      </w:r>
      <w:r w:rsidRPr="004F6B24">
        <w:rPr>
          <w:lang w:val="es-ES_tradnl"/>
        </w:rPr>
        <w:t>nea Taro.</w:t>
      </w:r>
    </w:p>
    <w:p w:rsidR="000F5C9E" w:rsidRDefault="000F5C9E" w:rsidP="000F5C9E">
      <w:pPr>
        <w:ind w:left="360"/>
        <w:rPr>
          <w:lang w:val="es-ES_tradnl"/>
        </w:rPr>
      </w:pPr>
    </w:p>
    <w:p w:rsidR="00F24E0F" w:rsidRPr="00F24E0F" w:rsidRDefault="00F24E0F" w:rsidP="00F24E0F">
      <w:pPr>
        <w:pStyle w:val="Paragrafoelenco"/>
        <w:rPr>
          <w:lang w:val="es-ES_tradnl"/>
        </w:rPr>
      </w:pPr>
      <w:r w:rsidRPr="00F24E0F">
        <w:rPr>
          <w:lang w:val="es-ES_tradnl"/>
        </w:rPr>
        <w:lastRenderedPageBreak/>
        <w:t>Entiendo que muchos de vosotros nunca habeis pensado en una pensión complementaria. Esto se debe a que en Italia la cultura de la pensión complementaria sigue siendo muy débil. Pero os pido que reflexionéis sobre la situación actual de crisis y que garantías de futuro puede darles sólo la pensión publica. Mi consejo, y el consejo que le daría a cualquier persona, es apoyar tanto a las pensiones públicas como a las privadas para que no recibais sorpresas desagradables en el futuro, basta con encender la televisión para ver en que condiciones se encuentran los pensionistas italianos, y ver que no disfrutan de su bien merecido descanso después de años de duro trabajo y sacrificio. </w:t>
      </w:r>
    </w:p>
    <w:p w:rsidR="00F24E0F" w:rsidRPr="00F24E0F" w:rsidRDefault="00F24E0F" w:rsidP="00F24E0F">
      <w:pPr>
        <w:pStyle w:val="Paragrafoelenco"/>
        <w:rPr>
          <w:lang w:val="es-ES_tradnl"/>
        </w:rPr>
      </w:pPr>
      <w:r w:rsidRPr="00F24E0F">
        <w:rPr>
          <w:lang w:val="es-ES_tradnl"/>
        </w:rPr>
        <w:t>En el caso de que vuestra elección sea adherirse a nuestro fondo de pensiones abierto, os aseguro que no hay ningún producto en el mercado que se adapte tan fácilmente a vosotros y con un coste minimo.</w:t>
      </w:r>
    </w:p>
    <w:p w:rsidR="00F24E0F" w:rsidRPr="00F24E0F" w:rsidRDefault="00F24E0F" w:rsidP="00F24E0F">
      <w:pPr>
        <w:pStyle w:val="Paragrafoelenco"/>
        <w:rPr>
          <w:lang w:val="es-ES_tradnl"/>
        </w:rPr>
      </w:pPr>
      <w:r w:rsidRPr="00F24E0F">
        <w:rPr>
          <w:lang w:val="es-ES_tradnl"/>
        </w:rPr>
        <w:br/>
        <w:t>Gracias a todos por vuestra atención y os invito a poneros en contacto conmigo para </w:t>
      </w:r>
      <w:r w:rsidRPr="00F24E0F">
        <w:rPr>
          <w:lang w:val="es-ES_tradnl"/>
        </w:rPr>
        <w:br/>
        <w:t>más información y alguna aclaración al número de teléfono .... o enviar </w:t>
      </w:r>
      <w:r w:rsidRPr="00F24E0F">
        <w:rPr>
          <w:lang w:val="es-ES_tradnl"/>
        </w:rPr>
        <w:br/>
        <w:t>un correo electrónico .</w:t>
      </w:r>
    </w:p>
    <w:p w:rsidR="00E5292F" w:rsidRPr="00F24E0F" w:rsidRDefault="00E5292F" w:rsidP="00E5292F">
      <w:pPr>
        <w:pStyle w:val="Paragrafoelenco"/>
        <w:rPr>
          <w:lang w:val="es-ES_tradnl"/>
        </w:rPr>
      </w:pPr>
    </w:p>
    <w:p w:rsidR="00E713D9" w:rsidRPr="000344CD" w:rsidRDefault="00E713D9">
      <w:pPr>
        <w:rPr>
          <w:lang w:val="es-ES_tradnl"/>
        </w:rPr>
      </w:pPr>
    </w:p>
    <w:sectPr w:rsidR="00E713D9" w:rsidRPr="000344CD" w:rsidSect="00573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582A"/>
    <w:multiLevelType w:val="hybridMultilevel"/>
    <w:tmpl w:val="21F876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4575AB"/>
    <w:multiLevelType w:val="hybridMultilevel"/>
    <w:tmpl w:val="FF0C3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606E7"/>
    <w:multiLevelType w:val="multilevel"/>
    <w:tmpl w:val="08DE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776A2"/>
    <w:multiLevelType w:val="hybridMultilevel"/>
    <w:tmpl w:val="CBFE7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25551"/>
    <w:multiLevelType w:val="multilevel"/>
    <w:tmpl w:val="144A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E6E9E"/>
    <w:rsid w:val="000242FA"/>
    <w:rsid w:val="000344CD"/>
    <w:rsid w:val="000F5C9E"/>
    <w:rsid w:val="001262A5"/>
    <w:rsid w:val="00134F3C"/>
    <w:rsid w:val="00192CEA"/>
    <w:rsid w:val="001D5FE4"/>
    <w:rsid w:val="001E6E9E"/>
    <w:rsid w:val="00263D65"/>
    <w:rsid w:val="002961BC"/>
    <w:rsid w:val="003B0D65"/>
    <w:rsid w:val="0043743E"/>
    <w:rsid w:val="00461A28"/>
    <w:rsid w:val="004A4469"/>
    <w:rsid w:val="004F5AD5"/>
    <w:rsid w:val="004F6B24"/>
    <w:rsid w:val="0057334B"/>
    <w:rsid w:val="00606AA4"/>
    <w:rsid w:val="00611439"/>
    <w:rsid w:val="00625F97"/>
    <w:rsid w:val="0071216C"/>
    <w:rsid w:val="00777A33"/>
    <w:rsid w:val="007F19C1"/>
    <w:rsid w:val="00865102"/>
    <w:rsid w:val="008E546C"/>
    <w:rsid w:val="00942EC1"/>
    <w:rsid w:val="00980043"/>
    <w:rsid w:val="00A66880"/>
    <w:rsid w:val="00B5391C"/>
    <w:rsid w:val="00BB69D7"/>
    <w:rsid w:val="00C12C74"/>
    <w:rsid w:val="00C278EC"/>
    <w:rsid w:val="00C5637E"/>
    <w:rsid w:val="00E5292F"/>
    <w:rsid w:val="00E713D9"/>
    <w:rsid w:val="00F24E0F"/>
    <w:rsid w:val="00F94D7D"/>
    <w:rsid w:val="00FB5AFE"/>
    <w:rsid w:val="00FB7150"/>
    <w:rsid w:val="00FC1CA8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3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B7150"/>
  </w:style>
  <w:style w:type="paragraph" w:styleId="NormaleWeb">
    <w:name w:val="Normal (Web)"/>
    <w:basedOn w:val="Normale"/>
    <w:uiPriority w:val="99"/>
    <w:semiHidden/>
    <w:unhideWhenUsed/>
    <w:rsid w:val="00E7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F5AD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F5AD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668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3D9CF-B2D4-49FF-A52E-C4AB0857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5</Pages>
  <Words>1099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DDLHiTs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Cecilia</cp:lastModifiedBy>
  <cp:revision>15</cp:revision>
  <dcterms:created xsi:type="dcterms:W3CDTF">2012-12-10T16:21:00Z</dcterms:created>
  <dcterms:modified xsi:type="dcterms:W3CDTF">2013-03-16T19:33:00Z</dcterms:modified>
</cp:coreProperties>
</file>